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2153E" w:rsidRPr="0032153E" w:rsidTr="0032153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32153E" w:rsidRPr="0032153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2153E" w:rsidRPr="0032153E" w:rsidRDefault="0032153E" w:rsidP="003215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3215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Nisan 2014 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2153E" w:rsidRPr="0032153E" w:rsidRDefault="0032153E" w:rsidP="003215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2153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2153E" w:rsidRPr="0032153E" w:rsidRDefault="0032153E" w:rsidP="0032153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3215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28973</w:t>
                  </w:r>
                </w:p>
              </w:tc>
            </w:tr>
            <w:tr w:rsidR="0032153E" w:rsidRPr="003215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2153E" w:rsidRPr="0032153E" w:rsidRDefault="0032153E" w:rsidP="003215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2153E" w:rsidRPr="003215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rkiye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bbi Cihaz Kurumundan:</w:t>
                  </w:r>
                </w:p>
                <w:p w:rsidR="0032153E" w:rsidRPr="0032153E" w:rsidRDefault="0032153E" w:rsidP="0032153E">
                  <w:pPr>
                    <w:spacing w:before="56"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LARIN G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HAKKINDA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 yarar/risk dengelerinin sistematik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izlenmesi, bu hususta bilgi toplanmas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erlendirilmesi, 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ivlenmesi, taraflar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irtibat kurulmas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yol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zarar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zeye indirilebilmesi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usul ve esaslar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ruhsat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izleme, ara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ivleme ve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faaliyetlerini ve bu faaliyetleri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kapsar.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14/5/1928 tarihli ve 1262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spen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iyari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stahzarlar Kanununa, 7/5/1987 tarihli ve 3359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Hizmetleri Temel Kanununun 3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(k) bendine ve 11/10/2011 tarihli ve 663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Kararnameye dayan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Avrupa Birli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ilgili mevzuat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2010/84/EC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direktifine paralel olarak,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Advers reaksiyon/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reaksiyon: Bir ilaca kar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zararl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ama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lanmayan cevab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Beklenmeyen advers reaksiyon: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 ait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bilgileri ile nitelik,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iddet veya sonlan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uyumlu olmayan advers reaksiyonu,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Bireysel olgu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raporu: Advers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reaksiyon raporunu,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Ciddi advers reaksiyon: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hayati tehlikeye, hastaneye yatmaya veya hastanede kalma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belirgin sakatl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veya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remezli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umsal anomaliye veya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umsal bir kusura neden olan advers reaksiyonu,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Farmakovijilans: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ilgili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sorunlar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erlendirilmesi, anla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nlenmesine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faaliyetler ve bilimsel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Farmakovijilans il sorumlusu: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ildeki farmakovijilans irtibat noktalar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koordinasyonundan,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itiminden,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sorumlu olan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Halk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il halk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Hastaneleri Kurumu Genel Sekreterli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Hizmetler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koordineli olarak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Bakanl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il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Farmakovijilans irtibat noktas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bildirilmesini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etmekten,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bilgilendirme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yapmaktan, kendisine ula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advers reaksiyon bildirimlerini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iletmekten sorumlu hekim, eczac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hekimini,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Farmakovijilans sistemi: Ruhsat sahipleri ve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sahipleri, Kurum ve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izleyerek yarar/risk dengesinde olabilecek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iklikleri tespit etmek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tasarlanm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sistemi,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veya birden fazla ilaca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ruhsat sahibi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farmakovijilans sisteminin detayl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dosyay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Farmakovijilans yetkilisi: Ruhsat sahibinin veya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gereklerini yerine getirmek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ulusal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istihdam etti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hekim veya eczac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nsanlarda bir hastal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his etme, tedavi etme ya da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nleme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sahip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belirtilerek sunulan ya da farmakolojik, imm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nolojik ya da metabolik bir etki yoluyla bir fizyolojik fonksiyonu eski haline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rmek,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zeltmek,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insanlarda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 veya maddeler kombinasyonunu,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suistimali: Zararl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fiziksel veya psikolojik etkilerin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etti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veya aral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Kurum: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Kurumunu,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MedDRA: Uluslararas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Uyum Konferans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zenleyici faaliyetler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m)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raporu: Ruhsat sahibinin, ruhsat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nemde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zamanlarda belli bir formatta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yarar/risk dengesine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raporu,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Risk: Hasta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halk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kalitesi,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etkilili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ve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arzu edilmeyen her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sisteminin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sistemi: Bir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ilgili riskleri tespit etmek,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mlamak,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nlemek ya da en aza indirmek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tasarlanm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dahalelerin etkinli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bir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alan bir dizi farmakovijilans faaliyeti ve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dahalesini,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venlilik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tehdit edebilecek risklerini tespit ederek,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mlayarak ve risklerin boyutunu belirleyerek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profilini teyit etmek ya da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tedbirlerinin etkinli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mensubu: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bildirilmesi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hekim, eczac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hekimi, hem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ire ve ebeleri,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Sinyal: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zlemler ve deneyler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 veya birden fazla kaynaktan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nan, bir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ile bir veya birden fazla olay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olumlu ya da olumsuz olas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 bir nedensellik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bulundu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ya da bilinen bir nedensellik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kisinin yeni bir boyut kazand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gerektiren bilgileri,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u: Ruhsat sahibinin farmakovijilansla ilgili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bir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belirlemek kayd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devretti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en az bir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farmakovijilans yetkilisi ve bir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de onun vekili olarak tam zamanl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eden, ilgili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lavuzda belirtilen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haiz ve Kurumca denetlenerek onaylanm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Spontan bildirim: Bir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mensubu ya da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Kuruma ya da ruhsat sahibine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talep edilmeden iletilen, bir veya birden fazla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bir hastada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veya birden fazla advers reaksiyonun tarif edildi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madan ya da organize veri toplama program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kaynaklanmayan bilgileri,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FAM: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kurulmu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Farmakovijilans Merkezini,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 bildirim formu: Tek bir hastada belli bir zaman noktas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belli bir ilaca kar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 bir veya birden fazla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reaksiyonu bildirirken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formu,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ketici: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bildirilmesi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hasta ya da bir hastan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avukat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arkada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akrabas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/ebeveyni/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gibi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mensubu olmayan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Yarar/risk dengesi: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tedavi edici etkilerinin,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halk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kalite,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ve etkililik riskleri ile birlikte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erlendirilmesini,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Taraflar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 sahibinin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garanti eder. Bu kapsamda,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izlemekten,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lkelerin yetkili otoriteleri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getirilen yasaklama ve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tlamalar da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 etkileyebilecek herhangi bir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konusunda Kurumu bilgilendirmekten ve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bilgilerinin mevcut bilimsel veriler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tutulmas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sorumludur. Bu sorumluluk,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ruhsata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olarak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pop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lasyon ve endikasyonlar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elde edilen pozitif ve negatif bulgular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kapsar.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Farmakovijilans faaliyetlerini yerine getirmek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 farmakovijilans sistemi kurar; bu sistem vas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elde edece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bilgileri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erlendirmek suretiyle riski en aza indirmek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gereken tedbirleri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olarak meydana gelen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MedDRA terminolojisi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Farmakovijilans sisteminde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yoklama yapar. Yoklama sonucunda elde edilen temel bulgular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farmakovijilans sistem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not olarak ekler. Bu yoklamadan elde edilen bulgular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uygun bir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zeltici eylem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zeltici eylem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 olarak uyguland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bu notu kald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Farmakovijilans sisteminin bir par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getirir: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En az bir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 farmakovijilans yetkilisi olarak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ve kesintisiz istihdam eder, farmakovijilans yetkilisinin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zamanlarda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nitelikleri ta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vekilinin farmakovijilans yetkilisinin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yerine getirmesini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Farmakovijilans yetkilisi ve vekili bu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pazarlama ve 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 alamaz.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Ana ortakl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farkl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sahiplerinin ortak bir farmakovijilans sistemi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tmeleri halinde ortak bir farmakovijilans yetkilisi ve vekili atanabilir. Ancak, bu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farmakovijilans yetkilisi olman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temezler.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c) Farmakovijilans yetkilisi ve vekili olarak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 isimlerini, mesleki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ve 24 saat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 atama tarihinden itibaren en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Kuruma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Farmakovijilans yetkilisinin veya vekilinin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durumunda, bunlar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en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atama yapt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bu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Kuruma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Farmakovijilans yetkilisi ve vekili olarak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farmakovijilans konusunda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temel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temin eder. Edinilen bilgilerin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kalmas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farmakovijilans konusundaki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itimlere kat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destekler.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rlar, saklar ve talep edilmesi halinde Kuruma sunar.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sistemini, ilaca ait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potansiyel risklerle,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verilerinin gerektirdikleriyle orant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nceller; yeni riskler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risklerin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veya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yarar/risk dengesinde herhangi bir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farmakovijilans verilerini izler ve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meydana geldi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Kurumu bilgilendirir.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Personelin farmakovijilans konusunda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Farmakovijilans ile ilgili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tamam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farmakovijilans yetkilisi istihdam etmeyebilir. Ancak farmakovijilans ile ilgili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revlerinin bir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yorsa,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ve kesintisiz olarak bir farmakovijilans yetkilisi istihdam eder.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farmakovijilans sisteminin noksans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olarak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lemesine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sorumluluk her zaman ruhsat sahibine aittir.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bildirmeleri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standart bir metni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bilgilerine ekler.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bildirmelerini isteyen standart bir metni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kullanma talimat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ekler.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Ek izlemeye tabi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listesinde bulunan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bilgisine ters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kenar siyah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gen bir sembol ekler ve bu sembol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izlemeye tabidir. Bu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gen yeni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bilgisinin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belirlenmesini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bildirmeleri beklenmektedir. Bak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4.8 Advers reaksiyonlar nas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raporlan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r?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ibaresini yazar. Benzer bir 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zamanda kullanma talimat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malzemelerine de eklenir.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 izlemeye tabi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dair bilgi elektronik 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ete mod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 yer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endi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 esas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piyasaya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ara verilmesi veya ruhsat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vurusunun geri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ekilmesi ya da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bir niyet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derhal Kuruma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Kurumun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taleplerine gecikmeksizin ve tam olarak cevap verir.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Kuruma sunduklar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farmakovijilans ile ilgili bilgi veya belgelerin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taahh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eder ve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yasal sorumlulu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stlenir. Sunulan bilgi ve belgelerde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tespit edildi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26/9/2004 tarihli ve 5237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Ceza Kanunu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Hastalarda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spontan bildirimi,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zlemleyen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mensubunun mesleki sorumlulu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olup bu bildirimler, 21 inci maddede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kurum ve kurulu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farmakovijilans il sorumlusu olarak, il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 ve bu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isim ve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 Kuruma bildirir. Hastaneler, advers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en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zamanda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bildirilmesini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farmakovijilans sistemini kurar ve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faaliyet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bilgi ak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hastane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farmakovijilans irtibat noktas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 ve bu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ismi, mesleki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 Kuruma ve farmakovijilans il sorumlusuna bildirilir.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Kurum taraf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yap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larla ilgili risklere dair bilgi toplamak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 farmakovijilans sistemi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kaynaklanabilecek riskleri azaltabilmek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terek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 ve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bildirmeleri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edici faaliyetlerde bulunur, bu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 yerine getirilmesi hususunda hastalar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 eden organizasyonlara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verebilir.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ve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bildirilen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nya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Merkezine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ciddi advers reaksiyonlara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raporu, bildirimini izleyen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ruhsat sahibine iletir.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(5)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belli baz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talep edebilir.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Ruhsat sahibini ve ilgili uluslararas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konuda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sonucunda ald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tedbirlerden haberdar eder.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Farmakovijilans konusunda temel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Ek izlemeye tabi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listesini uluslararas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alarak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nceller.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ruhsat almas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 bu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listeden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bu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uzatabilir. Kurum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 ile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bu listeye dahil edebilir.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ruhsat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olan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yarar/risk dengesini etkileyen bir hususun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ruhsat veya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sahibine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sistemini sunma zorunlulu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getirebilir.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ncellemeleri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erlendirir, riski en aza indirmeye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Yarar/risk dengesini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erlendirebilmek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ruhsat sahibinden yarar/risk dengesinin olumlulu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korudu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verileri isteyebilir.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Ruhsat sahibinden farmakovijilans sistem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 Bu durumda dosyan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yedi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Kuruma teslim edilir.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 Ba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 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Sunulmas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Farmakovijilansla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Belgeler,</w:t>
                  </w:r>
                </w:p>
                <w:p w:rsidR="0032153E" w:rsidRPr="0032153E" w:rsidRDefault="0032153E" w:rsidP="0032153E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 ba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 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sunulmas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farmakovijilansla ilgili belgeler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sahibi, ruhsat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yaparken farmakovijilans sisteminin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zetini sunar. Farmakovijilans sisteminin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dakilerden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sahibinin farmakovijilans yetkilisi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belge.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Farmakovijilans yetkilisinin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sahibinin farmakovijilansla ilgili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gerekli donan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sahip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imzal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dair beyan.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22 nci maddenin yedinci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durumlarda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vuruyla birlikte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yap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bilgiler uygulanmakta olan farmakovijilans sistemini eksiksiz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olarak yans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Ruhsat sahibi, gereken durumlarda farkl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kategorilerdeki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farmakovijilans sistemleri uygulayabilir. Bu sistemlerin hepsi,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birer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asgari olarak bu maddede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unsurlar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 Farmakovijilans yetkilisine ait bilgiler;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Farmakovijilans yetkilisinin, farmakovijilansla ilgili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sorumluluklara uyumu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 ve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farmakovijilans sistemi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yeterli yetkiye sahip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Farmakovijilans yetkilisinin mesleki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Farmakovijilans yetkilisinin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Farmakovijilans yetkilisinin yoklu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uygulanacak vekalet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zenlemesinin detaylar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Ruhsat sahibinin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bireysel olgu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erlendirilmesi,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veri taban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olgular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girilmesi,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zenlenmesi, sinyallerin tespit edilmesi ve analizi,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netimi, ruhsat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ve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netimi,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nedeniyle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netilmesi gibi 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yerlerin listesi.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bilgilerinin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derlenmesi, kaydedilmesi ve bildirilmesi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bilgisayarl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sistemlerin ve veri tabanlar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yerler,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levleri ve bunlara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 sistemlerin amaca uygunluklar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Veri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ve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farmakovijilans faaliyetlerinde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yarar/risk dengesinin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izlenmesi, bu izlem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gerekli tedbirleri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izlenen karar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sistemlerinin ve riski en aza indirmek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izlenmesi.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Bireysel olgu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raporlanmas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sunulmas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bilgilerinde ve kullanma talimat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venlilikle ilgili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kamuoyunun bilgilendirilmesi.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Farmakovijilans faaliyetleri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uygulanan kalite sisteminin,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unsurlar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Farmakovijilans faaliyetlerinin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personelin niteliklerine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yeri,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sisteminin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dosyalar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 ve kritik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talimatlar da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26 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insan kaynaklar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recinin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Farmakovijilans faaliyetlerinde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belgelerin yeri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28 inci maddede 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fta bulunulan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sisteminin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Farmakovijilans sisteminin performans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 ve 27 nci maddenin gereklerine uymak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uygulanan sistemin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varsa,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faaliyetlerin ve hizmetlerin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ekinin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belgeleri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eki bulunur: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kapsad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listesi;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etkin madde veya maddelerin uluslararas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lkiyete konu olmayan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(INN) ve ruhsat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devletlerin adlar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27 nci maddenin birinci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gereklerini yerine getirmek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yaz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 ve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listesi.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ilgili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belgeleri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listesi.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Planlanan ve tamamlanan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yoklamalar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listesi.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Varsa,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sahibine ait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farmakovijilans sistemi ana dosyalar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listesi.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Elektronik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defteri.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Ana dosyan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ncel tutulmas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kalmas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edinilen deneyimleri, teknik ve bilimsel ilerlemeleri ve mevzuatta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 dikkate alarak revize eder.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ekinin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ruhsat sahibi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belirtilerek her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numara verilir.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Farmakovijilans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lerinden sapma meydana geldi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bu sapman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etkisi ve nas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sapma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belgelenir.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nda bulunan belgelerin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belgeler noksans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ve okunakl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olur. Gereken durumlarda, bilgiler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 ya da ak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sunulabilir. Belgelere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ve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eri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ilebilmesini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belgelerin dizini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bunlar 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detaylar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belgeler, ilgili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lavuzda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sisteme uygun olarak mod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 halinde sunulabilir.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Saklamak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elektronik ortam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zaman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okunabilirli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korumas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yoklama ile denetlemelerde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suretinin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retilebilir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uluyla,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elektronik olarak tutulabilir.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Ruhsat sahibi, son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zarf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iklikleri, 12 nci madde ve 11 inci maddenin birinci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(b), (c), (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belirtilen bilgiler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elektronik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defterine kaydeder. Ruhsat sahibi,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tarihini,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iklikten sorumlu olan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gerekiyorsa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nedenini elektronik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defterinde belirtir.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ilebilirli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konumu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 bulunur.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Ruhsat sahibi, farmakovijilans yetkilisinin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eri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tutuldu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 her an denetime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14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elektronik olarak tutuldu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hallerde de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eri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Kurum, ruhsat sahibinden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defterini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sunmas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pheli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pheli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bildirilmesinde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FAM bildirim formu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Ruhsat sahipleri,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unca noksans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bu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ncellemelerini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venilir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iletir. Bildirimlerde asgari olarak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mlanabilir bir raport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mlanabilir bir hasta,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pheli bir advers reaksiyon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bir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Ruhsat sahipleri,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takip bilgilerini almak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detaylar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kaydeder.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takipleri yeterli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belgelenir.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Ruhsat sahipleri,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bildirirken her olguya ait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dakileri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mevcut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bilgileri verir: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Raporun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tarihi ve olgu referans numaras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raporun kaynaktan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 tarih ve son bilgi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tarih, varsa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ek belgeler.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Raport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adresi ve mesleki bilgilerini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profesyonel vas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Hastan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reaksiyon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tarihteki ya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grubu,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boyu ya da cinsiyeti,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reaksiyon fet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tiyse, annenin son menst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rasyon tarihi ve/veya maruziyet 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gestasyon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nemi, fet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gestasyon ya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eren, hastay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ebeveyn-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ocuk raporu ise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ebeveyni de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bilgiler.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eden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durumlar.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Advers reaksiyonun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mesiyle ilgili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phelenilen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etkile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ya da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bilinmiyorsa, etkin maddesinin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mlamaya yard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olacak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zellikleri ve bu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ruhsat sahibinin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ve uygulama yollar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endikasyonlar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uygulanan doz, uygulaman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tarihi, advers reaksiyon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ilaca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kesme ve ilaca tekrar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etkisi.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kalitesi ile ilgili bir sorundan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phe ediliyor ise,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 edilen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seri numaras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son kullanma tarihi ile birlikte kalite sorunu.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Plazma kaynakl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biyolojik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ve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seri numaralar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Advers reaksiyonun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umuyla ilgili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phesi bulunmayan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zamanl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hastaya veya ebeveynine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uygulanm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tedaviler.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 ya da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ciddiyeti ve en son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 tarihindeki sonucu,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advers reaksiyonun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ilk raport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reaksiyonu/reaksiyonlar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zleri ya da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ifadeler.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Advers reaksiyon ile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test ve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hasta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se,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tarihi ve varsa otopsi sonucu ile birlikte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nedeni.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Ciddi advers reaksiyonlar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hastan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klinik seyrini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alan deneyimlerin, tedavi tedbirlerinin, sonlan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edinilen takip bilgilerinin kronolojisine uygun olarak mant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zaman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anlat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Advers reaksiyon raporunu iptal etme ya da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yapma nedenleri.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Literat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bildirimleri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lkemizde meydana gelen advers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ulusal ya da uluslararas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makalelerin bir suretini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dilde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zetlerini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sunar.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talepte bulunmas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makalenin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eye tam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evirisini sunar.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Raporu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raporunun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endikasyon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veriler ve klinik ara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rmalardan elde edilen veriler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yararlar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risklerine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mevcut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verileri temel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son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raporunun veri kilitleme noktas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bu yana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yeni bilgilere odaklanarak yarar/risk dengesinin bilimsel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raporunda, 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hacmi ve 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ete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eldeki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verileri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ilaca maruz kalan pop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lasyona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bir tahmin sunulur. Maruziyet tahminiyle birlikte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nitel ve nicel bir analiz de sunulur ve bu analizde, uygun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hallerde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belirtilen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mdan ne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farkl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ruhsat sahibinin elinde bulunan veriler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tart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zlemsel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 da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bulgular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raporu,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ile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olarak riski en aza indirme faaliyetlerinin etkililik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Ruhsat sahiplerinin, bireysel olgular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sistemli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detayland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listelerine ve olgu anlat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vermesi gerekli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 Ancak bir sinyal ya da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sorununa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bilimsel analiz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unda, ilgili 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olgu anlat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yer verilir.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Ruhsat sahibi,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latif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verilerine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erlendirmeyi ve yarar/risk analizini temel alarak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raporuna konu olan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bilgileri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zerindeki etkileri de dahil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herhangi bir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ve/veya aksiyona gerek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raporunda belirtir.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aksi bildirilmedik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etkin maddeyi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ve tek ruhsat sahibi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 bir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raporu, farkl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isim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endikasyonlar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uygulama yollar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dozaj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ekillerini ve doz rejimlerini kapsar.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unda, belli bir endikasyon, dozaj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ekli, uygulama yolu ya da doz rejimine ait veriler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raporunun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sunulur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buna uygun olarak ele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raporuna konu olan madde, sabit doz kombinasyonu olan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eni olarak da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sa,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sahibi 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etkin madde kombinasyonlar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kombinasyonda yer alan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maddelere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apraz 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fta bulunularak her etkin maddeye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 sunulur ya da kombinasyona ait veriler tek maddeye ait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birinde sunulur.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 Ek 1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verilen formata uygun olarak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Planlar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format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profillerinin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profilinin daha detayl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stergelerin belirlenmesi.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kilendirilen riskleri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nlemeye ya da en aza indirmeye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tedbirlerin,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tedbirlerin etkililik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belgelenmesi.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etkin maddeyi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ve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sahibine ait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uygun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unda,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tabi olabilir.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ruhsat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malara 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fta bulunuluyorsa, bu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 sahibi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yoksa yetkili otoritelerin kendisine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gere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mi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finanse edildi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belirtilir. Ruhsat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kler,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zetinde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 takvimiyle birlikte liste halinde belirtilir.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2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verilen formata uygun olarak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Risk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ncellenmesi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haline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versiyon numaras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tarih vererek Kuruma sunar.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Kuruma Yap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Bildirimler ve Bildirimlerin De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erlendirilmesi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yapaca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bildirimler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ortaya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ve ilaca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olabilece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farmakovijilans irtibat noktas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 sahibinin bildirimi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veya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pazarland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 hastalar veya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spontan olarak bildirilmi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venlilik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reaksiyonlara dair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 ve 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meydana gelen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ciddi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bilginin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bu raporlara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takip bilgilerini toplar ve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iletir.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pazarland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lkelerden kendisine ula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bildirimler,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bilinen yarar/risk dengesini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tiriyor ise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bilginin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derhal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lkemize ait verileri 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bilimsel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literat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 olgu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bir bilgi kayna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izler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meydana gelen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ciddi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pheli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bilimsel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rulanabilir veriler elde etmek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Enfeksiyon ajan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phesi varsa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bilginin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derhal Kuruma bildirir.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Ruhsat sahibi;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Yeni bir etkin madde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biyoteknolojik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biyobenzer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orijinal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ilave risk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minimizasyonu etkinliklerinin gereklili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edilmi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jenerik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Biyoteknolojik kaynakl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biyobenzer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yeni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Ruhsat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veya ruhsat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istenmesi halinde,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herhangi bir evresinde tespit edilen bir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sorunu oldu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unda,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vuru/ruhsat sahibinin giri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imiyle,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ruhsat almas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takiben iki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 bir, sonraki iki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kez,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ruhsat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sonra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Kurumun talebi halinde derhal sunar.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piyasaya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18 ay sonra veya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kullanan hasta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10.000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ve ayr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ruhsat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Kuruma sunar.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daha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bir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ruhsat sahibi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farmakovijilans verilerinin sunum periyotlar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 ruhsat tarihi esas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devam eder.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suretiyle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devam eder ve yarar/risk profili ya da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bilgisi/kullanma talimat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etkileyen yeni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bilgileri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Kuruma varyasyon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 bulunur.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(12)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farmakovijilans endi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elerine dair bilgileri kamuoyuna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klayaca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 Kurumu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veya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bilgilendirir. Ruhsat sahibi, bu bilgilerin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yan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garanti eder.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Kurum taraf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ndan yap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de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Kurum, ruhsat sahibinden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getirmesini isteyebilir. Bu durumda 13/4/2013 tarihli ve 28617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Klinik Ara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esas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risklerine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endi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venlilik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birden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benzer endi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 duyulmas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ruhsat sahipleri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bu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Hastal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anlay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klinik metodolojinin daha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etkililik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erlendirmelerinin anlaml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tekrar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irilmesi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stermesi halinde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etkililik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Kurum farmakovijilans sistemi vas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verileri bilimsel olarak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erlendirir, riski en aza indirme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eneklerini dikkate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Kurum,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ilgili olarak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riski en aza indirmeye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tedbirlerin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izlemek.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sisteminde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ncellemeleri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Yeni risklerin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bu risklerin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ya da bu risklerin yarar/risk dengesi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etkisi olup olmad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raporu da dahil gerekli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 yapmak.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Kurum ve ruhsat sahibi, yeni risklerin meydana gelmesi halinde veya yarar/risk dengesinde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birbirlerini bilgilendirir.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 sonras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erlendirmenin 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Kurum farmakovijilansla ilgili durumlarda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lemlerden uygun olanlar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bunu ruhsat sahibine bildirir: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venlilik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Riski en aza indirecek tedbirlerin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Ruhsat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iptali veya ruhsat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reddi.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tedari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yasaklanmas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Yeni kontrendikasyon ilavesi,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dozun azalt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endikasyon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bilgilerinde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lmesi 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Kullan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</w:t>
                  </w:r>
                </w:p>
                <w:p w:rsidR="0032153E" w:rsidRPr="0032153E" w:rsidRDefault="0032153E" w:rsidP="0032153E">
                  <w:pPr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Kalite Sistemlerine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Gereklilikler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Kalite sistemine ili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genel esaslar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sahipleri, kendi farmakovijilans faaliyetlerinin ifas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yeterli ve etkili bir kalite sistemi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Kalite sistemi;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kaynaklar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kaynaklar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netimini, uyum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ve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kapsar.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Kalite sistemi,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faaliyetlerin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temel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ve tutarl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planlanmas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kalite planlamas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kalite gerekliliklerine uygun olarak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kaliteye uyum.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ne kadar etkili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ve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ne kadar etkili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izlenmesi ve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kalite kontrol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zeltilmesi ve iyile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kalite iyile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tirmeleri.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Kalite sistemi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benimsenen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unsurlar, gereklilikler ve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mler, kaliteye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kalite plan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kalite el kitab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kalite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yaz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politika ve usuller halinde sistemli ve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bir bi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belgelenir.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nsan kaynaklar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uygun niteliklere ve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sahip yetkin bir kadro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turur. Ruhsat sahibi, farmakovijilans yetkilisinin 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yeterli teorik ve pratik bilgiye sahip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Farmakovijilans yetkilisi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ve kontrol kadrosunun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hiyerar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kilat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belirtilir. Ruhsat sahibi, farmakovijilans yetkilisinin kalite sisteminin performans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farmakovijilans faaliyetlerini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yeterli yetkiye sahip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Farmakovijilans faaliyetlerinin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 rol oynayan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personele rol ve sorumluluklar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olarak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larken ve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olarak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verilir. Ruhsat sahibi, personelinin yetkinliklerini belgelemek,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 ve geli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planlar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eder ve yoklama ve denetlemeler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Ruhsat sahibi,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acil durumlarda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uygun talimatlar haz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Uyum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hedeflerin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kalite sistemi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uygular.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Farmakovijilans verilerinin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rekli izlenmesi, riski en aza indirme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eneklerinin incelenmesi ve gerekli tedbirlerin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riskleriyle ilgili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bilgilerin bilimsel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Ciddi advers reaksiyonlara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rulanabilir verilerin 22 nci maddenin ikinci,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relerde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sunumlar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nlenmesine ve sinyallerin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 de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risklerine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sunulan bilgilerin kalitesinin, b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noksans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Kurum ile etkili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olmas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kapsamda yeni riskler ve risklerdeki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iklikler,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sistemleri, riski en aza indirmeye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tedbirler, periyodik yarar/risk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nleyici tedbirler ve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sonras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ileti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bulunmas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Bilimsel verilerin ve Kurumun internet sayfas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bilgilerin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takip edilerek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bilgilerinin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ncellenmesi.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bilgilerinin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hastalara uygun yollarla duyurulmas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Farmakovijilans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ruhsat sahibi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durumunda da,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etkili bir kalite sisteminin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sorumlulu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ruhsat sahibine aittir.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netimi ve verilerin saklanmas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Ruhsat sahipleri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farmakovijilans faaliyetlerinin kayd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 ve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bilgilerin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bildirilmesini, yorumlanmas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saklanmas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Ruhsat sahipleri, farmakovijilans faaliyetlerinde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belgeler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 belgelere tekrar eri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ebilmeyi garanti eden ve bununla birlikte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incelenmesi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tedbirlerin izlenmesini, bu incelemelere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zamanlamalar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venlilik sorunlar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tarihleri ve karar verme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reciyle birlikte takibini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bir kay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 uygular.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Ruhsat sahipleri, advers reaksiyon raporlar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geriye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izlenebilirli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takibini 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mekanizmalar olu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Ruhsat sahibi, farmakovijilans sistemi ana dosyas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sisteme resmen son verilmesinin ard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11 inci maddede belirtilen unsurlar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muhafaza edilmesi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zenlemeleri yapar.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ilgili farmakovijilans verileri ve belgeleri, ilac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korudu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ve ruhsat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sona erdikten sonra en az 10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muhafaza edilir.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Yoklama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Kalite sisteminin, 25, 26, 27 ve 28 inci maddelerin gereklerine uygunlu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undan emin olmak ve etkinli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tespit etmek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riske dayal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yoklamalardan ge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irilir. Bu yoklamalar, yoklamaya konu olan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sorumlulu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olmayan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Tespit edilen noksanl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takip yoklamas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dahil olmak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gerekti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zeltici aksiyonlar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Yoklama raporu, ilgili konulardan sorumlu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birimine iletilir. Yoklama ve takip yoklamalar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tarihleri ve sonu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belgelenir.</w:t>
                  </w:r>
                </w:p>
                <w:p w:rsidR="0032153E" w:rsidRPr="0032153E" w:rsidRDefault="0032153E" w:rsidP="0032153E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DOKUZUNCU B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Endikasyon d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 mesleki maruziyet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endikasyon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izin verilen ve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ahsi tedavi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advers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mesleki maruziyetle ili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kilendirilen advers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reaksiyonlar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bildirimi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Gerekli durumlarda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risk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Gizlilik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Kuruma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bildirimlerde, hastan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bildirimde bulunan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mensubunun kimli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adresi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gizli tutulur. Bu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bilgiler hi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ama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FAM personeli 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klanamaz. Ruhsat sahipleri,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mensuplar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ayn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gizlilik esaslar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Ruhsat sahibi,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farmakovijilans hizmet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faaliyetleri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denetlenir.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Kurum,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sahibinin farmakovijilans sistemini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ve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uygulad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teyit etmek amac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ruhsatland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denetim yapabilir.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maddede belirtilen kurum ve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denetim faaliyetlerinin uygun bir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Denetim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konu ile ilgili her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temin eder ve sunar.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Denetim, ilgili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incelemeler ve denetimler sonucunda;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 durumunda Kurum, ruhsat sahibine ayk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ile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aras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verir. Verilen bu 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ayk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giderilmemesi halinde bu durum giderilinceye kadar ruhsat ask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gerek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esiyle birlikte Kurumun internet sitesinde ilan edilir.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denetimler sonucunda tespit edilen eksiklikler, Kurum talimatlar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giderilir.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yol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sterici 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22/3/2005 tarihli ve 25763 say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G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zlenmesi ve De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Hakk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 izleme listesine al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nacak ruhsatl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reci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maddesinin sekizinci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ek izleme listesine al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ruhsatl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listenin Kurum taraf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alt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5 inci maddenin dokuzuncu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hale getirilir.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5 inci maddesinin be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(e) bendi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bir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8 inci maddesinin sekizinci f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Di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yay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32153E" w:rsidRPr="0032153E" w:rsidRDefault="0032153E" w:rsidP="003215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3215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 Ba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215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 1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Periyodik Yarar/Risk Değerlendirme Raporu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Periyodik Yarar/Risk Değerlendirme Raporu aşağıdaki modüllerden oluşur:</w:t>
                  </w:r>
                </w:p>
                <w:tbl>
                  <w:tblPr>
                    <w:tblW w:w="8505" w:type="dxa"/>
                    <w:jc w:val="center"/>
                    <w:tblLook w:val="00A0"/>
                  </w:tblPr>
                  <w:tblGrid>
                    <w:gridCol w:w="1335"/>
                    <w:gridCol w:w="7170"/>
                  </w:tblGrid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İmzalı başlık sayfası.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II.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İdari Özet.</w:t>
                        </w:r>
                      </w:p>
                    </w:tc>
                  </w:tr>
                  <w:tr w:rsidR="0032153E" w:rsidRPr="0032153E">
                    <w:trPr>
                      <w:trHeight w:val="5995"/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  III.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İçindekiler tablosu.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1. Giriş.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2. Dünyadaki ruhsat durumu.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 Güvenlilik nedeniyle bildirim döneminde alınan tedbirler.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4. Referans güvenlilik bilgilerindeki değişiklikler.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5. Tahmin edilen maruziyet miktarı ve kullanım kalıpları.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5.1 Klinik çalışmalardaki kümülatif maruziyet. 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5.2 Pazarlama sonrası kümülatif ve bildirim dönemine ait hasta maruziyeti.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6. Özet cetvel verileri. 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6.1 Referans bilgiler.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6.2 Klinik çalışma kaynaklı ciddi advers olaylara ait kümülatif özet cetveller.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 6.3 Pazarlama sonrası veri kaynaklarına ait kümülatif ve bildirim dönemine ait özet cetveller.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7. Bildirim dönemi içinde klinik çalışmalardan elde edilen önemli bulguların özetleri.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7.1 Tamamlanan klinik çalışmalar.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7.2 Devam eden klinik çalışmalar.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7.3 Uzun süreli takip.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7.4 İlacın farklı terapötik alanda kullanımı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   7.5 Sabit kombinasyon tedavilerine ilişkin yeni güvenlilik verileri.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8. Girişimsel olmayan çalışmalara ait bulgular.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9. Diğer klinik çalışmalardan ve kaynaklardan edinilen bilgiler.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10. Klinik dışı veriler.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11. Literatür.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12. Diğer periyodik raporlar.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13. Kontrollü klinik çalışmalarda tespit edilen etkisizlik durumları. 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14. Son dakika bilgileri.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 Yeni, devam eden ve kapanışı yapılmış sinyallerin genel özeti.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16. Sinyal ve risk değerlendirmesi.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16.1 Güvenlilik sorunlarının özeti.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16.2 Sinyal değerlendirmesi.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16.3 Risklerin ve yeni bilgilerin değerlendirmesi.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16.4 Risklerin tanımlanması.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  <w:tab w:val="left" w:pos="1418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16.5 Riski en aza indirme tedbirlerinin etkililiği (ilgili olduğunda).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17. Yarar değerlendirmesi.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17.1 Klinik araştırmalar sırasında ve pazarlama sonrası dönemde tespit edilen önemli temel etkililik bilgileri.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17.2 Klinik araştırmalar sırasında ve pazarlama sonrası dönemde yeni  tespit edilen etkililik bilgileri.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17.3 Yararların tanımlanması.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18. Ruhsatlı endikasyonlara yönelik bütünleşik yarar/risk analizi.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18.1 Yarar/risk bağlamı (Tıbbi ihtiyaç ve önemli alternatifler).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ab/>
                          <w:t>18.2 Yarar/risk analizi değerlendirmesi.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19. Varılan sonuç ve tedbirler.</w:t>
                        </w:r>
                      </w:p>
                      <w:p w:rsidR="0032153E" w:rsidRPr="0032153E" w:rsidRDefault="0032153E" w:rsidP="0032153E">
                        <w:pPr>
                          <w:tabs>
                            <w:tab w:val="left" w:pos="306"/>
                          </w:tabs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20. Periyodik yarar/risk değerlendirme raporunun ekleri.</w:t>
                        </w:r>
                      </w:p>
                    </w:tc>
                  </w:tr>
                </w:tbl>
                <w:p w:rsidR="0032153E" w:rsidRPr="0032153E" w:rsidRDefault="0032153E" w:rsidP="003215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0" w:line="240" w:lineRule="exact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 2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Risk Yönetim Planları 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Risk yönetim planının formatı</w:t>
                  </w:r>
                </w:p>
                <w:p w:rsidR="0032153E" w:rsidRPr="0032153E" w:rsidRDefault="0032153E" w:rsidP="003215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215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 yönetim planı aşağıdaki modüllerden oluşur:</w:t>
                  </w:r>
                </w:p>
                <w:tbl>
                  <w:tblPr>
                    <w:tblW w:w="8505" w:type="dxa"/>
                    <w:jc w:val="center"/>
                    <w:tblLook w:val="00A0"/>
                  </w:tblPr>
                  <w:tblGrid>
                    <w:gridCol w:w="1334"/>
                    <w:gridCol w:w="7171"/>
                  </w:tblGrid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İlaç(lar) hakkında genel bilgi.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Güvenlilik spesifikasyonu.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Modül I: Endikasyonların ve hedef popülasyonların epidemiyolojisi. 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II: Güvenlilik spesifikasyonunun klinik dışı bölümü.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III: Klinik araştırmalarda maruziyet.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IV: Klinik araştırmalarda araştırılmayan popülasyon.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V: Ruhsatlandırma sonrası deneyim.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VI: Güvenlilik spesifikasyonuna ilişkin diğer sağlık otoriteleri tarafından istenen ilave gereklilikler.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Modül VII: Tanımlanan ve potansiyel riskler.</w:t>
                        </w:r>
                      </w:p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Modül VIII: Güvenlilik sorunlarının özeti.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III.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Farmakovijilans  planı (ruhsatlandırma sonrası güvenlilik çalışmalarını da içerir).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IV.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Ruhsatlandırma sonrası etkililik çalışması planları.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Riski en aza indirmek için alınan tedbirler (riski en aza indirme faaliyetlerinin etkililik değerlendirmesini de içerir).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Risk yönetim planının özeti.</w:t>
                        </w:r>
                      </w:p>
                    </w:tc>
                  </w:tr>
                  <w:tr w:rsidR="0032153E" w:rsidRPr="0032153E">
                    <w:trPr>
                      <w:jc w:val="center"/>
                    </w:trPr>
                    <w:tc>
                      <w:tcPr>
                        <w:tcW w:w="1416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VII. Bölüm:</w:t>
                        </w:r>
                      </w:p>
                    </w:tc>
                    <w:tc>
                      <w:tcPr>
                        <w:tcW w:w="7970" w:type="dxa"/>
                        <w:hideMark/>
                      </w:tcPr>
                      <w:p w:rsidR="0032153E" w:rsidRPr="0032153E" w:rsidRDefault="0032153E" w:rsidP="0032153E">
                        <w:pPr>
                          <w:spacing w:after="0" w:line="24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32153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Ekler.</w:t>
                        </w:r>
                      </w:p>
                    </w:tc>
                  </w:tr>
                </w:tbl>
                <w:p w:rsidR="0032153E" w:rsidRPr="0032153E" w:rsidRDefault="0032153E" w:rsidP="003215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32153E" w:rsidRPr="0032153E" w:rsidRDefault="0032153E" w:rsidP="003215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2153E" w:rsidRPr="0032153E" w:rsidRDefault="0032153E" w:rsidP="0032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2153E" w:rsidRPr="0032153E" w:rsidRDefault="0032153E" w:rsidP="0032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321" w:rsidRDefault="00C10321"/>
    <w:sectPr w:rsidR="00C10321" w:rsidSect="00C1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53E"/>
    <w:rsid w:val="0032153E"/>
    <w:rsid w:val="00C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32153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32153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32153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7298</Words>
  <Characters>41604</Characters>
  <Application>Microsoft Office Word</Application>
  <DocSecurity>0</DocSecurity>
  <Lines>346</Lines>
  <Paragraphs>97</Paragraphs>
  <ScaleCrop>false</ScaleCrop>
  <Company/>
  <LinksUpToDate>false</LinksUpToDate>
  <CharactersWithSpaces>48805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2014-12-03T16:05:00Z</dcterms:created>
  <dcterms:modified xsi:type="dcterms:W3CDTF">2014-12-03T16:05:00Z</dcterms:modified>
</cp:coreProperties>
</file>